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C84FC3" w:rsidRPr="00B14E6B" w:rsidRDefault="00C84FC3" w:rsidP="00B14E6B">
      <w:pPr>
        <w:keepNext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i/>
          <w:kern w:val="32"/>
          <w:sz w:val="28"/>
          <w:szCs w:val="28"/>
          <w:lang w:val="uk-UA" w:eastAsia="uk-UA"/>
        </w:rPr>
      </w:pPr>
    </w:p>
    <w:p w:rsidR="00C84FC3" w:rsidRPr="00B14E6B" w:rsidRDefault="00C84FC3" w:rsidP="00B14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4FC3" w:rsidRPr="00B14E6B" w:rsidRDefault="00C84FC3" w:rsidP="00B14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освіти і науки України</w:t>
      </w: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Херсонський державний університет</w:t>
      </w: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Факультет іноземної філології</w:t>
      </w: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німецької та романської філології</w:t>
      </w: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FC3" w:rsidRPr="00B14E6B" w:rsidRDefault="00C84FC3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НАВЧАЛЬНО-МЕТОДИЧНИЙ КОМПЛЕКС </w:t>
      </w:r>
    </w:p>
    <w:p w:rsidR="00C84FC3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C84FC3"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исципліни</w:t>
      </w:r>
    </w:p>
    <w:p w:rsidR="00FE2947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E2947" w:rsidRPr="00B14E6B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Лексикологія французької мови </w:t>
      </w:r>
    </w:p>
    <w:p w:rsidR="00C84FC3" w:rsidRPr="00B14E6B" w:rsidRDefault="00C84FC3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(Окремі розділи)</w:t>
      </w:r>
    </w:p>
    <w:p w:rsidR="00C84FC3" w:rsidRPr="00B14E6B" w:rsidRDefault="00C84FC3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947" w:rsidRPr="00B14E6B" w:rsidRDefault="00FE2947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Ступінь вищої освіти        бакалавр</w:t>
      </w: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B14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Галузь знань </w:t>
      </w:r>
      <w:r w:rsidRPr="00B14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Освіта/Педагогіка</w:t>
      </w:r>
    </w:p>
    <w:p w:rsidR="00C84FC3" w:rsidRPr="00B14E6B" w:rsidRDefault="00C84FC3" w:rsidP="00B14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Спеціальність                     014.02 Середня освіта (Мова і література </w:t>
      </w: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французька) </w:t>
      </w: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47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</w:p>
    <w:p w:rsidR="00FE2947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C84FC3" w:rsidRPr="00B14E6B" w:rsidRDefault="00C84FC3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19-</w:t>
      </w: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</w:p>
    <w:p w:rsidR="00C84FC3" w:rsidRPr="00B14E6B" w:rsidRDefault="00C84FC3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947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947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947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947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947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947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947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2947" w:rsidRPr="00B14E6B" w:rsidRDefault="00FE2947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</w:t>
      </w:r>
      <w:proofErr w:type="gramStart"/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FC3" w:rsidRPr="00B14E6B" w:rsidRDefault="00C84FC3" w:rsidP="00B14E6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Плани лекційних занять</w:t>
      </w:r>
    </w:p>
    <w:p w:rsidR="00C84FC3" w:rsidRPr="00B14E6B" w:rsidRDefault="00C84FC3" w:rsidP="00B14E6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 до проведення практичних занять</w:t>
      </w:r>
    </w:p>
    <w:p w:rsidR="00C84FC3" w:rsidRPr="00B14E6B" w:rsidRDefault="00C84FC3" w:rsidP="00B14E6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Дидактичне забезпечення самостійної роботи студента</w:t>
      </w:r>
    </w:p>
    <w:p w:rsidR="00C84FC3" w:rsidRPr="00B14E6B" w:rsidRDefault="00C84FC3" w:rsidP="00B14E6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знань, умінь та навичок студентів з курсу</w:t>
      </w:r>
    </w:p>
    <w:p w:rsidR="00C84FC3" w:rsidRPr="00B14E6B" w:rsidRDefault="00C84FC3" w:rsidP="00B14E6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екзамену</w:t>
      </w:r>
    </w:p>
    <w:p w:rsidR="00C84FC3" w:rsidRPr="00B14E6B" w:rsidRDefault="00C84FC3" w:rsidP="00B14E6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рекомендованої літератури</w:t>
      </w: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bookmarkStart w:id="0" w:name="_MON_1615450572"/>
      <w:bookmarkEnd w:id="0"/>
      <w:r w:rsidRPr="00B14E6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Плани лекційних занять</w:t>
      </w:r>
    </w:p>
    <w:p w:rsidR="00C84FC3" w:rsidRPr="00B14E6B" w:rsidRDefault="00C84FC3" w:rsidP="00B14E6B">
      <w:pPr>
        <w:widowControl w:val="0"/>
        <w:tabs>
          <w:tab w:val="left" w:pos="1155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C84FC3" w:rsidP="00B14E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FC3" w:rsidRPr="00B14E6B" w:rsidRDefault="00A5422A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Лекційни</w:t>
      </w:r>
      <w:r w:rsidR="000829AE"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й</w:t>
      </w: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829AE"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</w:t>
      </w:r>
      <w:r w:rsidR="00C84FC3"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навчальної дисципліни </w:t>
      </w:r>
    </w:p>
    <w:p w:rsidR="00C84FC3" w:rsidRPr="00B14E6B" w:rsidRDefault="00C84FC3" w:rsidP="00B14E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829AE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Лексикологія як наука. Слово та лексика.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Слово. Форма. Зміст.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Загальновживана та спеціальна лексика.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Лінгвістичне значення.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Лексичний зміст. Шляхи аналізу лексичного смислу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Семантичні зв’язки. Ієрархічні відношення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Синонімія. Антонімія. Полісемія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Зміна смислу: система тропів.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слів у синхронії.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слів.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Деривація іменника (префіксація, суфіксація, основні шляхи деривації).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Деривація (дієслова, прикметники, прийменники).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Утворення складних слів. </w:t>
      </w:r>
    </w:p>
    <w:p w:rsidR="00C84FC3" w:rsidRPr="00B14E6B" w:rsidRDefault="00C84FC3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засоби утворення слів у французької мові.</w:t>
      </w:r>
    </w:p>
    <w:p w:rsidR="00C84FC3" w:rsidRPr="00B14E6B" w:rsidRDefault="00C84FC3" w:rsidP="00B14E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29AE" w:rsidRPr="00B14E6B" w:rsidRDefault="000829AE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0829AE" w:rsidRPr="00B14E6B" w:rsidRDefault="000829AE" w:rsidP="00B14E6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Методичні рекомендації до проведення</w:t>
      </w:r>
    </w:p>
    <w:p w:rsidR="000829AE" w:rsidRPr="00B14E6B" w:rsidRDefault="000829AE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 практичних занять</w:t>
      </w: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4FC3" w:rsidRPr="00B14E6B" w:rsidRDefault="000829AE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Практичний модуль</w:t>
      </w:r>
    </w:p>
    <w:p w:rsidR="00C84FC3" w:rsidRPr="00B14E6B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Лексикологія як наука. 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Слово та лексика. Слово. Форма. Зміст. 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Слово та лексика. Загальновживана та спеціальна лексика. 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Лінгвістичне значення. 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Лексичний зміст. Шляхи аналізу лексичного смислу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Семантичні зв’язки. Ієрархічні відношення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Синонімія. Антонімія. Полісемія 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Зміна смислу: система тропів. </w:t>
      </w:r>
    </w:p>
    <w:p w:rsidR="00C84FC3" w:rsidRPr="00B14E6B" w:rsidRDefault="000829AE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слів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Деривація іменника (префіксація, суфіксація, основні шляхи деривації). 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Деривація (дієслова, прикметники, прийменники). 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Утворення складних слів. </w:t>
      </w:r>
    </w:p>
    <w:p w:rsidR="00C84FC3" w:rsidRPr="00B14E6B" w:rsidRDefault="00C84FC3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засоби утворення слів у французької мові. </w:t>
      </w:r>
    </w:p>
    <w:p w:rsidR="00C84FC3" w:rsidRDefault="00C84FC3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4E6B" w:rsidRDefault="00B14E6B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14E6B" w:rsidRPr="00B14E6B" w:rsidRDefault="00B14E6B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84FC3" w:rsidRPr="00B14E6B" w:rsidRDefault="00C84FC3" w:rsidP="00B14E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829AE" w:rsidRPr="00B14E6B" w:rsidRDefault="000829AE" w:rsidP="00B14E6B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Дидактичне забезпечення </w:t>
      </w:r>
    </w:p>
    <w:p w:rsidR="000829AE" w:rsidRPr="00B14E6B" w:rsidRDefault="000829AE" w:rsidP="00B14E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0829AE" w:rsidRPr="00B14E6B" w:rsidRDefault="000829AE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самостійної роботи студента</w:t>
      </w:r>
    </w:p>
    <w:p w:rsidR="00E4342E" w:rsidRPr="00B14E6B" w:rsidRDefault="00E4342E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E4342E" w:rsidRPr="00B14E6B" w:rsidRDefault="00E4342E" w:rsidP="00B1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</w:t>
      </w:r>
      <w:r w:rsidR="00A5422A"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 визначається робочою навчальною програмою, методичними матеріалами, завданнями та вказівками викладача. </w:t>
      </w:r>
    </w:p>
    <w:p w:rsidR="00E4342E" w:rsidRPr="00B14E6B" w:rsidRDefault="00E4342E" w:rsidP="00B1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студента забезпечу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E4342E" w:rsidRPr="00B14E6B" w:rsidRDefault="00E4342E" w:rsidP="00B1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Зміст самостійної роботи з навчальної дисципліни складається з таких видів роботи: підготовка до практичних занять; </w:t>
      </w:r>
      <w:r w:rsidRPr="00B14E6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самостійне опрацювання окремих тем навчальної дисципліни згід</w:t>
      </w:r>
      <w:r w:rsidRPr="00B14E6B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softHyphen/>
        <w:t>но з робочою програмою курсу;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пошук додаткової інформації щодо окремих питань курсу; підбір прикладів, що ілюструють певні теоретичні положення.</w:t>
      </w:r>
    </w:p>
    <w:p w:rsidR="00E4342E" w:rsidRPr="00B14E6B" w:rsidRDefault="00E4342E" w:rsidP="00B14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42E" w:rsidRDefault="00E4342E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Модуль самостійної роботи</w:t>
      </w:r>
      <w:r w:rsidR="006045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передбачає</w:t>
      </w:r>
      <w:r w:rsidRPr="00B14E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: </w:t>
      </w:r>
    </w:p>
    <w:p w:rsidR="006045EE" w:rsidRPr="00FE2947" w:rsidRDefault="006045EE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045EE" w:rsidRPr="00FE2947" w:rsidRDefault="006045EE" w:rsidP="00604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1.Вивчення теоретичного матеріалу з тем дисципліни.</w:t>
      </w:r>
    </w:p>
    <w:p w:rsidR="00E4342E" w:rsidRPr="00FE2947" w:rsidRDefault="00E4342E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342E" w:rsidRPr="00FE2947" w:rsidRDefault="006045EE" w:rsidP="00B14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4342E"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E2947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Самостійне опрацювання </w:t>
      </w:r>
      <w:r w:rsidR="00E4342E"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теоретичного матеріалу з тем:</w:t>
      </w:r>
    </w:p>
    <w:p w:rsidR="00E4342E" w:rsidRPr="00FE2947" w:rsidRDefault="00E4342E" w:rsidP="00B14E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Лексична семантика французької мови</w:t>
      </w:r>
    </w:p>
    <w:p w:rsidR="00E4342E" w:rsidRPr="00FE2947" w:rsidRDefault="00E4342E" w:rsidP="00B14E6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Особливості засобів утворення розмовної лексики у французької мові (</w:t>
      </w:r>
      <w:r w:rsidRPr="00FE2947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Verlan</w:t>
      </w: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інші)</w:t>
      </w:r>
    </w:p>
    <w:p w:rsidR="00E4342E" w:rsidRPr="00FE2947" w:rsidRDefault="00E4342E" w:rsidP="00B14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Виконання практичних завдань : </w:t>
      </w:r>
      <w:r w:rsidR="00FE2947"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вправ до кожного практичного заняття за </w:t>
      </w:r>
      <w:r w:rsidR="00A5422A"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основними </w:t>
      </w: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підручниками:</w:t>
      </w:r>
    </w:p>
    <w:p w:rsidR="00E4342E" w:rsidRPr="00FE2947" w:rsidRDefault="00E4342E" w:rsidP="00B14E6B">
      <w:pPr>
        <w:numPr>
          <w:ilvl w:val="0"/>
          <w:numId w:val="8"/>
        </w:num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Херсон:Айлант, 2008.  84 с.</w:t>
      </w:r>
    </w:p>
    <w:p w:rsidR="00E4342E" w:rsidRPr="00FE2947" w:rsidRDefault="00E4342E" w:rsidP="00B14E6B">
      <w:pPr>
        <w:numPr>
          <w:ilvl w:val="0"/>
          <w:numId w:val="8"/>
        </w:num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Навчально-методичні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</w:t>
      </w:r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gram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теоретичного</w:t>
      </w:r>
      <w:proofErr w:type="gram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FE29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Херсон:Айлант, 2008. 56 с.</w:t>
      </w:r>
    </w:p>
    <w:p w:rsidR="00A5422A" w:rsidRPr="00B14E6B" w:rsidRDefault="00A5422A" w:rsidP="00B14E6B">
      <w:pPr>
        <w:pStyle w:val="a3"/>
        <w:spacing w:line="240" w:lineRule="auto"/>
        <w:ind w:left="90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22A" w:rsidRPr="00B14E6B" w:rsidRDefault="00A5422A" w:rsidP="00B14E6B">
      <w:pPr>
        <w:pStyle w:val="a3"/>
        <w:spacing w:line="240" w:lineRule="auto"/>
        <w:ind w:left="90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22A" w:rsidRPr="00B14E6B" w:rsidRDefault="00A5422A" w:rsidP="00B14E6B">
      <w:pPr>
        <w:pStyle w:val="a3"/>
        <w:spacing w:line="240" w:lineRule="auto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A5422A" w:rsidRPr="00B14E6B" w:rsidRDefault="00A5422A" w:rsidP="00B14E6B">
      <w:pPr>
        <w:pStyle w:val="a3"/>
        <w:spacing w:line="240" w:lineRule="auto"/>
        <w:ind w:left="90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422A" w:rsidRPr="00B14E6B" w:rsidRDefault="00A5422A" w:rsidP="00B14E6B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E6B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знань, умінь та навичок студентів з дисципліни</w:t>
      </w:r>
      <w:r w:rsidR="00B14E6B" w:rsidRPr="00B14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4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«Лексикологія французької мови»  </w:t>
      </w:r>
    </w:p>
    <w:p w:rsidR="00A5422A" w:rsidRPr="00B14E6B" w:rsidRDefault="00A5422A" w:rsidP="00B14E6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B14E6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B14E6B" w:rsidRPr="00B14E6B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екзамен</w:t>
      </w:r>
    </w:p>
    <w:p w:rsidR="00B14E6B" w:rsidRPr="00B14E6B" w:rsidRDefault="00B14E6B" w:rsidP="00B14E6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14E6B" w:rsidRPr="00B14E6B" w:rsidRDefault="00B14E6B" w:rsidP="00B14E6B">
      <w:pPr>
        <w:pStyle w:val="a4"/>
        <w:tabs>
          <w:tab w:val="left" w:pos="360"/>
        </w:tabs>
        <w:spacing w:after="0"/>
        <w:ind w:left="0" w:firstLine="539"/>
        <w:jc w:val="both"/>
        <w:rPr>
          <w:sz w:val="28"/>
          <w:szCs w:val="28"/>
          <w:lang w:val="uk-UA"/>
        </w:rPr>
      </w:pPr>
      <w:r w:rsidRPr="00B14E6B">
        <w:rPr>
          <w:sz w:val="28"/>
          <w:szCs w:val="28"/>
          <w:lang w:val="uk-UA"/>
        </w:rPr>
        <w:t>Навчальні досягнення здобувачів ступеня вищої освіти «бакалавр» із дисципліни оцінюються з використанням європейської системи трансферу та накопичення кредитів ЄКТС.</w:t>
      </w:r>
    </w:p>
    <w:p w:rsidR="00B14E6B" w:rsidRPr="00B14E6B" w:rsidRDefault="00B14E6B" w:rsidP="00B14E6B">
      <w:pPr>
        <w:pStyle w:val="a4"/>
        <w:tabs>
          <w:tab w:val="left" w:pos="360"/>
        </w:tabs>
        <w:spacing w:after="0"/>
        <w:ind w:left="0" w:firstLine="53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97"/>
        <w:gridCol w:w="236"/>
        <w:gridCol w:w="3646"/>
      </w:tblGrid>
      <w:tr w:rsidR="00B14E6B" w:rsidRPr="00B14E6B" w:rsidTr="00B14E6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за шкалою </w:t>
            </w:r>
            <w:r w:rsidRPr="00B14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B14E6B" w:rsidRPr="00B14E6B" w:rsidTr="00B14E6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</w:tr>
      <w:tr w:rsidR="00B14E6B" w:rsidRPr="00B14E6B" w:rsidTr="00B14E6B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B14E6B" w:rsidRPr="00B14E6B" w:rsidTr="00B14E6B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4E6B" w:rsidRPr="00B14E6B" w:rsidTr="00B14E6B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</w:tr>
      <w:tr w:rsidR="00B14E6B" w:rsidRPr="00B14E6B" w:rsidTr="00B14E6B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4E6B" w:rsidRPr="00B14E6B" w:rsidTr="00B14E6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B14E6B" w:rsidRPr="00B14E6B" w:rsidTr="00B14E6B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E6B" w:rsidRPr="00B14E6B" w:rsidRDefault="00B14E6B" w:rsidP="00B14E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14E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B14E6B" w:rsidRPr="00B14E6B" w:rsidRDefault="00B14E6B" w:rsidP="00B14E6B">
      <w:pPr>
        <w:pStyle w:val="a4"/>
        <w:rPr>
          <w:rFonts w:eastAsia="Calibri"/>
          <w:sz w:val="28"/>
          <w:szCs w:val="28"/>
        </w:rPr>
      </w:pPr>
    </w:p>
    <w:p w:rsidR="00B14E6B" w:rsidRPr="00B14E6B" w:rsidRDefault="00B14E6B" w:rsidP="00B14E6B">
      <w:pPr>
        <w:pStyle w:val="a4"/>
        <w:tabs>
          <w:tab w:val="left" w:pos="-5220"/>
        </w:tabs>
        <w:ind w:left="0"/>
        <w:jc w:val="both"/>
        <w:rPr>
          <w:sz w:val="28"/>
          <w:szCs w:val="28"/>
          <w:lang w:val="uk-UA"/>
        </w:rPr>
      </w:pPr>
      <w:r w:rsidRPr="00B14E6B">
        <w:rPr>
          <w:sz w:val="28"/>
          <w:szCs w:val="28"/>
          <w:lang w:val="uk-UA"/>
        </w:rPr>
        <w:t>Критерії оцінювання якості знань студентів:</w:t>
      </w:r>
      <w:r w:rsidRPr="00B14E6B">
        <w:rPr>
          <w:sz w:val="28"/>
          <w:szCs w:val="28"/>
        </w:rPr>
        <w:t> </w:t>
      </w:r>
      <w:r w:rsidRPr="00B14E6B">
        <w:rPr>
          <w:sz w:val="28"/>
          <w:szCs w:val="28"/>
          <w:lang w:val="uk-UA"/>
        </w:rPr>
        <w:t xml:space="preserve"> оцінка якості знань студентів визначається рівнем засвоєння матеріалу, передбаченого навчальною програмою відповідної дисципліни.</w:t>
      </w:r>
    </w:p>
    <w:p w:rsidR="00A5422A" w:rsidRPr="00B14E6B" w:rsidRDefault="00A5422A" w:rsidP="00B14E6B">
      <w:pPr>
        <w:pStyle w:val="a4"/>
        <w:tabs>
          <w:tab w:val="left" w:pos="-5220"/>
        </w:tabs>
        <w:ind w:left="0"/>
        <w:jc w:val="both"/>
        <w:rPr>
          <w:sz w:val="28"/>
          <w:szCs w:val="28"/>
          <w:lang w:val="uk-UA"/>
        </w:rPr>
      </w:pPr>
      <w:r w:rsidRPr="00B14E6B">
        <w:rPr>
          <w:b/>
          <w:sz w:val="28"/>
          <w:szCs w:val="28"/>
          <w:lang w:val="uk-UA"/>
        </w:rPr>
        <w:lastRenderedPageBreak/>
        <w:tab/>
        <w:t>Відмінно (90-100 балів)</w:t>
      </w:r>
      <w:r w:rsidRPr="00B14E6B">
        <w:rPr>
          <w:sz w:val="28"/>
          <w:szCs w:val="28"/>
          <w:lang w:val="uk-UA"/>
        </w:rPr>
        <w:t xml:space="preserve"> – Студент вміє чітко і зрозуміло, аргументовано висловити свою позицію щодо проблеми як теоретичного так і практичного плану. Вільно володіє понятійним апаратом. Методично правильно застосовує здобуті теоретичні знання у всіх видах усної та писемної діяльності. Не допускає помилок в усному та писемному мовленні.</w:t>
      </w:r>
    </w:p>
    <w:p w:rsidR="00A5422A" w:rsidRPr="00B14E6B" w:rsidRDefault="00A5422A" w:rsidP="00B14E6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E6B">
        <w:rPr>
          <w:rFonts w:ascii="Times New Roman" w:hAnsi="Times New Roman" w:cs="Times New Roman"/>
          <w:b/>
          <w:sz w:val="28"/>
          <w:szCs w:val="28"/>
          <w:lang w:val="uk-UA"/>
        </w:rPr>
        <w:t>Добре (74-89 балів)</w:t>
      </w:r>
      <w:r w:rsidRPr="00B14E6B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 вміє аргументовано висловити свою точку зору, аналізує матеріал, який пропонується для роботи, володіє понятійним апаратом на достатньому рівні. Але у відповіді висвітлює не всю проблематику, порушує логіку відповіді, має ряд помилок мовленнєвого плану.</w:t>
      </w:r>
    </w:p>
    <w:p w:rsidR="00A5422A" w:rsidRPr="00B14E6B" w:rsidRDefault="00A5422A" w:rsidP="00B14E6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E6B">
        <w:rPr>
          <w:rFonts w:ascii="Times New Roman" w:hAnsi="Times New Roman" w:cs="Times New Roman"/>
          <w:b/>
          <w:sz w:val="28"/>
          <w:szCs w:val="28"/>
          <w:lang w:val="uk-UA"/>
        </w:rPr>
        <w:t>Задовільно (60-73 балів)</w:t>
      </w:r>
      <w:r w:rsidRPr="00B14E6B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 володіє понятійним апаратом не на достатньому рівні, має прогалини в знаннях теоретичного плану, пояснює мовні явища на побутовому рівні, допускає значну кількість помилок у відповіді, відповідь не має чіткої логічної структури.</w:t>
      </w:r>
    </w:p>
    <w:p w:rsidR="00A5422A" w:rsidRPr="00B14E6B" w:rsidRDefault="00A5422A" w:rsidP="00B14E6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E6B">
        <w:rPr>
          <w:rFonts w:ascii="Times New Roman" w:hAnsi="Times New Roman" w:cs="Times New Roman"/>
          <w:b/>
          <w:sz w:val="28"/>
          <w:szCs w:val="28"/>
          <w:lang w:val="uk-UA"/>
        </w:rPr>
        <w:t>Незадовільно (35-59 балів)</w:t>
      </w:r>
      <w:r w:rsidRPr="00B14E6B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 не володіє термінологією, словниковий запас обмежений, знання мають фрагментарний характер, не вміє навести жодного прикладу, не вміє висловити свою точку зору на поставлене запитання.</w:t>
      </w:r>
    </w:p>
    <w:p w:rsidR="00A5422A" w:rsidRPr="00B14E6B" w:rsidRDefault="00A5422A" w:rsidP="00B14E6B">
      <w:pPr>
        <w:widowControl w:val="0"/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E6B">
        <w:rPr>
          <w:rFonts w:ascii="Times New Roman" w:hAnsi="Times New Roman" w:cs="Times New Roman"/>
          <w:b/>
          <w:sz w:val="28"/>
          <w:szCs w:val="28"/>
          <w:lang w:val="uk-UA"/>
        </w:rPr>
        <w:t>Незадовільно (1-34 балів)</w:t>
      </w:r>
      <w:r w:rsidRPr="00B14E6B">
        <w:rPr>
          <w:rFonts w:ascii="Times New Roman" w:hAnsi="Times New Roman" w:cs="Times New Roman"/>
          <w:sz w:val="28"/>
          <w:szCs w:val="28"/>
          <w:lang w:val="uk-UA"/>
        </w:rPr>
        <w:t xml:space="preserve"> – Студент повністю не засвоїв навчальний матеріал з курсу, не володіє як теоретичним, так і практичним матеріалом. </w:t>
      </w:r>
    </w:p>
    <w:p w:rsidR="00A5422A" w:rsidRPr="00B14E6B" w:rsidRDefault="00A5422A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22A" w:rsidRPr="00B14E6B" w:rsidRDefault="00A5422A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22A" w:rsidRPr="00B14E6B" w:rsidRDefault="00A5422A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A5422A" w:rsidRPr="00B14E6B" w:rsidSect="00A5422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22A" w:rsidRPr="00B14E6B" w:rsidRDefault="00A5422A" w:rsidP="00B14E6B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Перелік</w:t>
      </w:r>
      <w:proofErr w:type="spellEnd"/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питань</w:t>
      </w:r>
      <w:proofErr w:type="spellEnd"/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екзамену</w:t>
      </w:r>
      <w:proofErr w:type="spellEnd"/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422A" w:rsidRPr="00B14E6B" w:rsidRDefault="00A5422A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наука про слово,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лінгвістичних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лінгвістичної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Словник як система.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Семантична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лексики. Формальна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лексики.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науками про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лексичний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народу.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Лексикографічні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слово,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одиницю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словниковий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одиниці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слово, словоформа. Слово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Проблема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 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Словниковий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загальновживана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лексика.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варіативності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варіативність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загальновживаної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лексики (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архаїзми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історизми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неологізми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просторова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варіативність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регіоналізми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proofErr w:type="gram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gram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істична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варіативність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фамільяризми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просторіччя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арготизми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пейоративна, вульгарна лексика). Частотна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периферійна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лексика.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запозичення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Фразеологія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семантики.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Лінгвістичний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і референт.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Актуальна й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віртуальна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Семантична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еволюція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іфнгвістичного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знаку: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звуження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послаблення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Денотація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коннотація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препозитивний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диференційні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словників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словникових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варіативність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компонентного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засади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Семантичні зв'язки слів. Відношення ієрархії та включення. Відношення ієрархії та включення: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гіпонімія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гіперонімія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Зв'язок частина/ціле.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Синонімія й антонімія як відношення відповідності та протиставлення. Відношення еквівалентності та протиставлення; синонімія, антонімія, паронімія.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Полісемія як принцип мовної економії.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 як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метафора,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метонімія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синекдоха.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Полісемія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моносемія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французькій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французьких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омонімів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омографи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омофони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пароніми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омоніми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за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троп.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Метафоричні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Метонімічні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Синекдоха.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лексичну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морфологію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діахронії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синхронії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синхронії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Похідні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Мотивованість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немотивованість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народна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ЛО.    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10.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морфологічного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Дериваційна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словотворчих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деривація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основоскладення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афіксне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безафіксне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суфіксація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префіксація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, "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" й "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словоскладення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Афікси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Синонімія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омонімія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полісемія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афіксів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Непряма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деривація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конверсія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семантичне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дериватів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семантичн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суфіксація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префіксація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конверсія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</w:t>
      </w:r>
    </w:p>
    <w:p w:rsidR="00A5422A" w:rsidRPr="00B14E6B" w:rsidRDefault="00A5422A" w:rsidP="00B14E6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Основоскладення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складне</w:t>
      </w:r>
      <w:proofErr w:type="gram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телескопія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композітів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іменник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прикметник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дієслово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прислівник</w:t>
      </w:r>
      <w:proofErr w:type="spellEnd"/>
      <w:r w:rsidRPr="00B1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прикменник</w:t>
      </w:r>
      <w:proofErr w:type="spellEnd"/>
      <w:r w:rsidRPr="00B1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сполучник</w:t>
      </w:r>
      <w:proofErr w:type="spellEnd"/>
      <w:r w:rsidRPr="00B1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детермінатив</w:t>
      </w:r>
      <w:proofErr w:type="spellEnd"/>
      <w:r w:rsidRPr="00B1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займенник</w:t>
      </w:r>
      <w:proofErr w:type="spellEnd"/>
      <w:r w:rsidRPr="00B14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422A" w:rsidRPr="00B14E6B" w:rsidRDefault="00A5422A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22A" w:rsidRPr="00B14E6B" w:rsidRDefault="00A5422A" w:rsidP="00B14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22A" w:rsidRPr="00B14E6B" w:rsidRDefault="00A5422A" w:rsidP="00B14E6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Рекомендована література:</w:t>
      </w:r>
    </w:p>
    <w:p w:rsidR="00A5422A" w:rsidRPr="00B14E6B" w:rsidRDefault="00A5422A" w:rsidP="00B14E6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A5422A" w:rsidRPr="00B14E6B" w:rsidRDefault="00A5422A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Базова </w:t>
      </w:r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4E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література</w:t>
      </w:r>
    </w:p>
    <w:p w:rsidR="00A5422A" w:rsidRPr="00B14E6B" w:rsidRDefault="00A5422A" w:rsidP="00B14E6B">
      <w:pPr>
        <w:pStyle w:val="a3"/>
        <w:numPr>
          <w:ilvl w:val="0"/>
          <w:numId w:val="12"/>
        </w:num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Херсон:Айлант, 2008.  84 с.</w:t>
      </w:r>
    </w:p>
    <w:p w:rsidR="00A5422A" w:rsidRPr="00B14E6B" w:rsidRDefault="00A5422A" w:rsidP="00B14E6B">
      <w:pPr>
        <w:pStyle w:val="a3"/>
        <w:numPr>
          <w:ilvl w:val="0"/>
          <w:numId w:val="12"/>
        </w:num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Голотюк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Навчально-методичні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з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gram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теоретичного</w:t>
      </w:r>
      <w:proofErr w:type="gram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лексикології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Херсон:Айлант, 2008. 56 с.</w:t>
      </w:r>
    </w:p>
    <w:p w:rsidR="00A5422A" w:rsidRPr="00B14E6B" w:rsidRDefault="00A5422A" w:rsidP="00B14E6B">
      <w:pPr>
        <w:pStyle w:val="a3"/>
        <w:numPr>
          <w:ilvl w:val="0"/>
          <w:numId w:val="12"/>
        </w:numPr>
        <w:spacing w:after="0" w:line="240" w:lineRule="auto"/>
        <w:ind w:right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Л.О., Куликова В.Г. Курс лексиколог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французької мови: Навчальний посібник.  К.: Вид. центр КНЛУ, 2003.  186с.</w:t>
      </w:r>
    </w:p>
    <w:p w:rsidR="00A5422A" w:rsidRPr="00B14E6B" w:rsidRDefault="00A5422A" w:rsidP="00B14E6B">
      <w:pPr>
        <w:pStyle w:val="a3"/>
        <w:spacing w:after="0" w:line="240" w:lineRule="auto"/>
        <w:ind w:left="1080" w:right="60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22A" w:rsidRPr="00B14E6B" w:rsidRDefault="00A5422A" w:rsidP="00B14E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Допоміжна </w:t>
      </w:r>
      <w:r w:rsidRPr="00B14E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література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Гак В.Г.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Теоретическая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студентов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вузов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Гак В.Г.  М.: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Добросвет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  831с.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Лемешко Л.С.,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Табачек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І.В. </w:t>
      </w:r>
      <w:proofErr w:type="spellStart"/>
      <w:proofErr w:type="gram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ібник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грамматики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французької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К.: Вид. Центр КНЛУ, 2005.  134с.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Guiraud P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La syntaxe du français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Paris: Presse universitaire de France, 19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7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14E6B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128 p . 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Донець Й.І., Лисенко М.М. Практична граматика французької мови. Морфологія. Синтаксис.  К.: Вища школа, 1984.  279с.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Драненко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Г.Ф.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niveau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avancé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DALF: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К.: Ірпінь: ВТФ “Перун”, 2003.    232с.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Комірна Є.В.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Manuel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К.; Ірпінь:ВТФ Перун, 2007.  488с.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Костюк О.Л.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niveau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intermédiaire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DELF: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-  К: Ірпінь: ВТФ “Перун”, 2001. 224с.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Крючков Г.Г.,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Хлопчук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В.С., Корж Л.П. Поглиблений курс французької мови.   К.: Вища школа, 2000. 399с.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Опацький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С.Є.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niveau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d’аbutant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Підруч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К.: Ірпінь “Перун”, 2002.  312с.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Соломарська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О.О., Донець Й.І.,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Стаценко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В.А. Підручник французької мови.  К.: Вища школа, 1994.  255с.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Бистров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В. Узагальнена функція змістової сторони мови: до проблеми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інвіріанта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варіанта:  Автореф. дис. канд. філол. наук:  10.02.15  К., 1996. 19с.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Бойчук І.В. Адаптація французьких онімів в українській та російській мовах: Автореф. дис. канд.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філол.наук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10.02.15.  Донецьк, 2002.-20с.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Кремзикова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С.Ю. Завдання та матеріали до самостійної роботи студентів з курсу лексикології французької мови.  Донецьк: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ДонНУ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43с.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Крючков Г.Г.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Системность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значимых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единиц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Автореф. дис. д-ра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филол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наук: 10.02.05.  К., 1987.  46с.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Кузьменко Г.І. Омонімія: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аспектологія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проблематика: філологічна розвідка з лексикології та стилістики.  К.: Вид. центр "Київський  ун-т", 2001.  35с.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Луговий В.С. Про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широкозначність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стійких словосполучень в сучасній французькій мові: Автореф. дис. канд. філол. наук: 10.02.05 К., 1993. 20с.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Одинокова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В. И.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Функциоиально-семантические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метафорической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конструкции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N1 +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+ N2 в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современном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французском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Автореф.дис.канд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филол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наук: 10.02.15.  К., 1990. 24с.  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Осьмак Г.К.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Семантическая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словообразовательная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структура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омонимов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французском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Автореф. дис. канд.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филол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наук: 10.02.05.  К., 1980. 23с.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Павел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В.К.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Лексическая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номинация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Кишинев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Штиинца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1983.  231с.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Попович М.М. Детермінованість /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недетермінованість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іменника у </w:t>
      </w:r>
    </w:p>
    <w:p w:rsidR="00A5422A" w:rsidRPr="00B14E6B" w:rsidRDefault="00A5422A" w:rsidP="00B14E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мовленні (на матеріалі французької мови).  Чернівці: Рута, 2001. 347с.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Рогач О.О. Структурно-семантичні особливості фразеологізмів з  етнонімами (на матеріалі  англійської, російської,  української, французької,  польської мов). Автореф. дис. канд. філол. наук: 10.02.15.  К., 1999.  18с.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Роднева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 В.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Психолингвистические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восприятия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явлений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омонимии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разносистемных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языках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/ На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материале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русского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английского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языков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Автореф. дис. канд.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филол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наук:  10.02.19.  К., 1989.  22с.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Сваткова Т.Д.,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Логінова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С.Р., Вєдіна І.В. та інші.  Деякі  лексичні труднощі  французької мови. - К.: ІФ  КНУ  імені  Тараса  Шевченка,  2002.  52с.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Сосюр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 Курс загальної лінгвістики.  К.: Основи, 1988.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Bréal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M.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Essai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sémantique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Science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significations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-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Paris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Hachette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1924.  372p.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Calvet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L.G.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sigles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d'aujourd'hui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dans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monde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1984.  182р.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Cellard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J.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500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racines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grecques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latines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plus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importantes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vocabulaire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Paris-Gembloux: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Duculot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1980.  192p.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Corbin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D.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Morphologie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dérivationnelle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et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structuration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du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lexique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Tubingen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Niemeyer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1987.  511p.</w:t>
      </w:r>
    </w:p>
    <w:p w:rsidR="00A5422A" w:rsidRPr="00B14E6B" w:rsidRDefault="00A5422A" w:rsidP="00B14E6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Nyrop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K.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Grammaire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historique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langue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française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Copenhague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1990.</w:t>
      </w:r>
    </w:p>
    <w:p w:rsidR="00A5422A" w:rsidRPr="00B14E6B" w:rsidRDefault="00A5422A" w:rsidP="00B14E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22A" w:rsidRPr="00B14E6B" w:rsidRDefault="00A5422A" w:rsidP="00B14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5422A" w:rsidRPr="00B14E6B" w:rsidRDefault="00A5422A" w:rsidP="00B14E6B">
      <w:pPr>
        <w:shd w:val="clear" w:color="auto" w:fill="FFFFFF"/>
        <w:tabs>
          <w:tab w:val="left" w:pos="365"/>
        </w:tabs>
        <w:spacing w:before="14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E6B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B14E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de-DE" w:eastAsia="ru-RU"/>
        </w:rPr>
        <w:t>NTERNET</w:t>
      </w:r>
      <w:r w:rsidRPr="00B14E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spellStart"/>
      <w:r w:rsidRPr="00B1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ресурси</w:t>
      </w:r>
      <w:proofErr w:type="spellEnd"/>
    </w:p>
    <w:p w:rsidR="00A5422A" w:rsidRPr="00B14E6B" w:rsidRDefault="00742A22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" w:history="1">
        <w:r w:rsidR="00A5422A" w:rsidRPr="00B14E6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http://es.wikipedia.org/wiki/</w:t>
        </w:r>
      </w:hyperlink>
    </w:p>
    <w:p w:rsidR="00A5422A" w:rsidRPr="00B14E6B" w:rsidRDefault="00742A22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" w:history="1">
        <w:r w:rsidR="00A5422A" w:rsidRPr="00B14E6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http://psu.escolares.net/</w:t>
        </w:r>
      </w:hyperlink>
    </w:p>
    <w:p w:rsidR="00A5422A" w:rsidRPr="00B14E6B" w:rsidRDefault="00A5422A" w:rsidP="00FE294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.//lengua.laguia2000.com/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tipos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14E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texto</w:t>
      </w:r>
      <w:bookmarkStart w:id="1" w:name="_GoBack"/>
      <w:bookmarkEnd w:id="1"/>
      <w:proofErr w:type="spellEnd"/>
    </w:p>
    <w:p w:rsidR="00A5422A" w:rsidRPr="00B14E6B" w:rsidRDefault="00742A22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" w:history="1">
        <w:r w:rsidR="00A5422A" w:rsidRPr="00B14E6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http://de.wiktionary.org/wiki/Lexikologie</w:t>
        </w:r>
      </w:hyperlink>
    </w:p>
    <w:p w:rsidR="00A5422A" w:rsidRPr="00B14E6B" w:rsidRDefault="00742A22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history="1">
        <w:r w:rsidR="00A5422A" w:rsidRPr="00B14E6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http://www.onomasiology.de/</w:t>
        </w:r>
      </w:hyperlink>
    </w:p>
    <w:p w:rsidR="00A5422A" w:rsidRPr="00B14E6B" w:rsidRDefault="00742A22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" w:history="1">
        <w:r w:rsidR="00A5422A" w:rsidRPr="00B14E6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http://www.lexikologie.de/</w:t>
        </w:r>
      </w:hyperlink>
    </w:p>
    <w:p w:rsidR="00A5422A" w:rsidRPr="00B14E6B" w:rsidRDefault="00A5422A" w:rsidP="00B14E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4B0A" w:rsidRPr="00B14E6B" w:rsidRDefault="00FD4B0A" w:rsidP="00B14E6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D4B0A" w:rsidRPr="00B1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22" w:rsidRDefault="00742A22">
      <w:pPr>
        <w:spacing w:after="0" w:line="240" w:lineRule="auto"/>
      </w:pPr>
      <w:r>
        <w:separator/>
      </w:r>
    </w:p>
  </w:endnote>
  <w:endnote w:type="continuationSeparator" w:id="0">
    <w:p w:rsidR="00742A22" w:rsidRDefault="0074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22" w:rsidRDefault="00742A22">
      <w:pPr>
        <w:spacing w:after="0" w:line="240" w:lineRule="auto"/>
      </w:pPr>
      <w:r>
        <w:separator/>
      </w:r>
    </w:p>
  </w:footnote>
  <w:footnote w:type="continuationSeparator" w:id="0">
    <w:p w:rsidR="00742A22" w:rsidRDefault="0074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61" w:rsidRPr="00841261" w:rsidRDefault="00A5422A">
    <w:pPr>
      <w:pStyle w:val="a6"/>
      <w:rPr>
        <w:lang w:val="uk-UA"/>
      </w:rPr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0E5"/>
    <w:multiLevelType w:val="hybridMultilevel"/>
    <w:tmpl w:val="C62E7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C2124"/>
    <w:multiLevelType w:val="hybridMultilevel"/>
    <w:tmpl w:val="2C949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575D6"/>
    <w:multiLevelType w:val="hybridMultilevel"/>
    <w:tmpl w:val="D69E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67DC0"/>
    <w:multiLevelType w:val="hybridMultilevel"/>
    <w:tmpl w:val="FD5A2B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6004D7"/>
    <w:multiLevelType w:val="hybridMultilevel"/>
    <w:tmpl w:val="6DDA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B4603"/>
    <w:multiLevelType w:val="hybridMultilevel"/>
    <w:tmpl w:val="B5642E50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>
    <w:nsid w:val="392A2F6D"/>
    <w:multiLevelType w:val="hybridMultilevel"/>
    <w:tmpl w:val="2BD87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571B70"/>
    <w:multiLevelType w:val="hybridMultilevel"/>
    <w:tmpl w:val="C1E875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41441"/>
    <w:multiLevelType w:val="hybridMultilevel"/>
    <w:tmpl w:val="0258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10532"/>
    <w:multiLevelType w:val="hybridMultilevel"/>
    <w:tmpl w:val="FFDA0104"/>
    <w:lvl w:ilvl="0" w:tplc="809A25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175E52"/>
    <w:multiLevelType w:val="hybridMultilevel"/>
    <w:tmpl w:val="29C6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C3097"/>
    <w:multiLevelType w:val="hybridMultilevel"/>
    <w:tmpl w:val="B5642E50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C3"/>
    <w:rsid w:val="000829AE"/>
    <w:rsid w:val="00152AA6"/>
    <w:rsid w:val="003E107D"/>
    <w:rsid w:val="006045EE"/>
    <w:rsid w:val="00742A22"/>
    <w:rsid w:val="008B66B4"/>
    <w:rsid w:val="00A1495E"/>
    <w:rsid w:val="00A5422A"/>
    <w:rsid w:val="00B14E6B"/>
    <w:rsid w:val="00C84FC3"/>
    <w:rsid w:val="00D22C44"/>
    <w:rsid w:val="00E4342E"/>
    <w:rsid w:val="00FD4B0A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AE"/>
    <w:pPr>
      <w:ind w:left="720"/>
      <w:contextualSpacing/>
    </w:pPr>
  </w:style>
  <w:style w:type="paragraph" w:styleId="a4">
    <w:name w:val="Body Text Indent"/>
    <w:basedOn w:val="a"/>
    <w:link w:val="a5"/>
    <w:rsid w:val="00A542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A54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AE"/>
    <w:pPr>
      <w:ind w:left="720"/>
      <w:contextualSpacing/>
    </w:pPr>
  </w:style>
  <w:style w:type="paragraph" w:styleId="a4">
    <w:name w:val="Body Text Indent"/>
    <w:basedOn w:val="a"/>
    <w:link w:val="a5"/>
    <w:rsid w:val="00A542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A54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54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xikologie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nomasiology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.wiktionary.org/wiki/Lexikolog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su.escolare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2020-03-04T18:15:00Z</dcterms:created>
  <dcterms:modified xsi:type="dcterms:W3CDTF">2020-03-05T05:27:00Z</dcterms:modified>
</cp:coreProperties>
</file>